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F236" w14:textId="1DA7C8DB" w:rsidR="00BC72AB" w:rsidRDefault="00BC72AB" w:rsidP="00BC72AB">
      <w:pPr>
        <w:spacing w:before="100" w:beforeAutospacing="1" w:after="100" w:afterAutospacing="1" w:line="240" w:lineRule="auto"/>
        <w:jc w:val="center"/>
        <w:rPr>
          <w:rFonts w:ascii="Candara" w:eastAsia="Times New Roman" w:hAnsi="Candara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Candara" w:eastAsia="Times New Roman" w:hAnsi="Candara" w:cs="Times New Roman"/>
          <w:b/>
          <w:bCs/>
          <w:noProof/>
          <w:kern w:val="0"/>
          <w:sz w:val="27"/>
          <w:szCs w:val="27"/>
        </w:rPr>
        <w:drawing>
          <wp:inline distT="0" distB="0" distL="0" distR="0" wp14:anchorId="123D9DAB" wp14:editId="04D5066B">
            <wp:extent cx="2457450" cy="987181"/>
            <wp:effectExtent l="0" t="0" r="0" b="3810"/>
            <wp:docPr id="782457817" name="Picture 1" descr="A blue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457817" name="Picture 1" descr="A blue and yellow logo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846" cy="993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43808" w14:textId="77777777" w:rsidR="00BC72AB" w:rsidRDefault="00BC72AB" w:rsidP="00A74459">
      <w:pPr>
        <w:spacing w:before="100" w:beforeAutospacing="1" w:after="100" w:afterAutospacing="1" w:line="240" w:lineRule="auto"/>
        <w:jc w:val="center"/>
        <w:rPr>
          <w:rFonts w:ascii="Candara" w:eastAsia="Times New Roman" w:hAnsi="Candara" w:cs="Times New Roman"/>
          <w:b/>
          <w:bCs/>
          <w:kern w:val="0"/>
          <w:sz w:val="27"/>
          <w:szCs w:val="27"/>
          <w14:ligatures w14:val="none"/>
        </w:rPr>
      </w:pPr>
    </w:p>
    <w:p w14:paraId="112B189E" w14:textId="7540F7ED" w:rsidR="00A74459" w:rsidRPr="00BC72AB" w:rsidRDefault="00A74459" w:rsidP="00A74459">
      <w:pPr>
        <w:spacing w:before="100" w:beforeAutospacing="1" w:after="100" w:afterAutospacing="1" w:line="240" w:lineRule="auto"/>
        <w:jc w:val="center"/>
        <w:rPr>
          <w:rFonts w:ascii="Candara" w:eastAsia="Times New Roman" w:hAnsi="Candara" w:cs="Times New Roman"/>
          <w:kern w:val="0"/>
          <w:sz w:val="32"/>
          <w:szCs w:val="32"/>
          <w14:ligatures w14:val="none"/>
        </w:rPr>
      </w:pPr>
      <w:r w:rsidRPr="00BC72AB">
        <w:rPr>
          <w:rFonts w:ascii="Candara" w:eastAsia="Times New Roman" w:hAnsi="Candara" w:cs="Times New Roman"/>
          <w:b/>
          <w:bCs/>
          <w:kern w:val="0"/>
          <w:sz w:val="32"/>
          <w:szCs w:val="32"/>
          <w14:ligatures w14:val="none"/>
        </w:rPr>
        <w:t>SAMPLE PERIODONTAL PROGRAM PROTOCOL</w:t>
      </w:r>
    </w:p>
    <w:p w14:paraId="358290C8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Disclaimer</w:t>
      </w:r>
    </w:p>
    <w:p w14:paraId="3D953C88" w14:textId="77777777" w:rsidR="00BC72AB" w:rsidRPr="00BC72AB" w:rsidRDefault="00BC72AB" w:rsidP="00BC72AB">
      <w:pPr>
        <w:spacing w:after="0" w:line="240" w:lineRule="auto"/>
        <w:rPr>
          <w:rFonts w:ascii="Candara" w:eastAsia="Times New Roman" w:hAnsi="Candara" w:cs="Times New Roman"/>
          <w:i/>
          <w:iCs/>
          <w:kern w:val="0"/>
          <w14:ligatures w14:val="none"/>
        </w:rPr>
      </w:pPr>
      <w:r w:rsidRPr="00BC72AB">
        <w:rPr>
          <w:rFonts w:ascii="Candara" w:eastAsia="Times New Roman" w:hAnsi="Candara" w:cs="Times New Roman"/>
          <w:i/>
          <w:iCs/>
          <w:kern w:val="0"/>
          <w14:ligatures w14:val="none"/>
        </w:rPr>
        <w:t>This document is provided </w:t>
      </w:r>
      <w:r w:rsidRPr="00BC72AB">
        <w:rPr>
          <w:rFonts w:ascii="Candara" w:eastAsia="Times New Roman" w:hAnsi="Candara" w:cs="Times New Roman"/>
          <w:b/>
          <w:bCs/>
          <w:i/>
          <w:iCs/>
          <w:kern w:val="0"/>
          <w14:ligatures w14:val="none"/>
        </w:rPr>
        <w:t>for informational and educational purposes only</w:t>
      </w:r>
      <w:r w:rsidRPr="00BC72AB">
        <w:rPr>
          <w:rFonts w:ascii="Candara" w:eastAsia="Times New Roman" w:hAnsi="Candara" w:cs="Times New Roman"/>
          <w:i/>
          <w:iCs/>
          <w:kern w:val="0"/>
          <w14:ligatures w14:val="none"/>
        </w:rPr>
        <w:t>. It is a </w:t>
      </w:r>
      <w:r w:rsidRPr="00BC72AB">
        <w:rPr>
          <w:rFonts w:ascii="Candara" w:eastAsia="Times New Roman" w:hAnsi="Candara" w:cs="Times New Roman"/>
          <w:b/>
          <w:bCs/>
          <w:i/>
          <w:iCs/>
          <w:kern w:val="0"/>
          <w14:ligatures w14:val="none"/>
        </w:rPr>
        <w:t>sample</w:t>
      </w:r>
      <w:r w:rsidRPr="00BC72AB">
        <w:rPr>
          <w:rFonts w:ascii="Candara" w:eastAsia="Times New Roman" w:hAnsi="Candara" w:cs="Times New Roman"/>
          <w:i/>
          <w:iCs/>
          <w:kern w:val="0"/>
          <w14:ligatures w14:val="none"/>
        </w:rPr>
        <w:t> periodontal program protocol and </w:t>
      </w:r>
      <w:r w:rsidRPr="00BC72AB">
        <w:rPr>
          <w:rFonts w:ascii="Candara" w:eastAsia="Times New Roman" w:hAnsi="Candara" w:cs="Times New Roman"/>
          <w:b/>
          <w:bCs/>
          <w:i/>
          <w:iCs/>
          <w:kern w:val="0"/>
          <w14:ligatures w14:val="none"/>
        </w:rPr>
        <w:t>not</w:t>
      </w:r>
      <w:r w:rsidRPr="00BC72AB">
        <w:rPr>
          <w:rFonts w:ascii="Candara" w:eastAsia="Times New Roman" w:hAnsi="Candara" w:cs="Times New Roman"/>
          <w:i/>
          <w:iCs/>
          <w:kern w:val="0"/>
          <w14:ligatures w14:val="none"/>
        </w:rPr>
        <w:t> a substitute for clinical judgment, professional training, or legal/regulatory guidance.</w:t>
      </w:r>
    </w:p>
    <w:p w14:paraId="1FA29B15" w14:textId="77777777" w:rsidR="00BC72AB" w:rsidRPr="00BC72AB" w:rsidRDefault="00BC72AB" w:rsidP="00BC72AB">
      <w:pPr>
        <w:spacing w:after="0" w:line="240" w:lineRule="auto"/>
        <w:rPr>
          <w:rFonts w:ascii="Candara" w:eastAsia="Times New Roman" w:hAnsi="Candara" w:cs="Times New Roman"/>
          <w:i/>
          <w:iCs/>
          <w:kern w:val="0"/>
          <w14:ligatures w14:val="none"/>
        </w:rPr>
      </w:pPr>
    </w:p>
    <w:p w14:paraId="214014BC" w14:textId="77777777" w:rsidR="00BC72AB" w:rsidRPr="00BC72AB" w:rsidRDefault="00BC72AB" w:rsidP="00BC72AB">
      <w:pPr>
        <w:spacing w:after="0" w:line="240" w:lineRule="auto"/>
        <w:rPr>
          <w:rFonts w:ascii="Candara" w:eastAsia="Times New Roman" w:hAnsi="Candara" w:cs="Times New Roman"/>
          <w:i/>
          <w:iCs/>
          <w:kern w:val="0"/>
          <w14:ligatures w14:val="none"/>
        </w:rPr>
      </w:pPr>
      <w:r w:rsidRPr="00BC72AB">
        <w:rPr>
          <w:rFonts w:ascii="Candara" w:eastAsia="Times New Roman" w:hAnsi="Candara" w:cs="Times New Roman"/>
          <w:i/>
          <w:iCs/>
          <w:kern w:val="0"/>
          <w14:ligatures w14:val="none"/>
        </w:rPr>
        <w:t>Use of this sample must be </w:t>
      </w:r>
      <w:r w:rsidRPr="00BC72AB">
        <w:rPr>
          <w:rFonts w:ascii="Candara" w:eastAsia="Times New Roman" w:hAnsi="Candara" w:cs="Times New Roman"/>
          <w:b/>
          <w:bCs/>
          <w:i/>
          <w:iCs/>
          <w:kern w:val="0"/>
          <w14:ligatures w14:val="none"/>
        </w:rPr>
        <w:t>entirely customized and approved by the treating doctor</w:t>
      </w:r>
      <w:r w:rsidRPr="00BC72AB">
        <w:rPr>
          <w:rFonts w:ascii="Candara" w:eastAsia="Times New Roman" w:hAnsi="Candara" w:cs="Times New Roman"/>
          <w:i/>
          <w:iCs/>
          <w:kern w:val="0"/>
          <w14:ligatures w14:val="none"/>
        </w:rPr>
        <w:t> to reflect their clinical philosophy, diagnostic criteria, CDT coding preferences, state laws, and licensing board regulations.</w:t>
      </w:r>
    </w:p>
    <w:p w14:paraId="55791F12" w14:textId="77777777" w:rsidR="00BC72AB" w:rsidRPr="00BC72AB" w:rsidRDefault="00BC72AB" w:rsidP="00BC72AB">
      <w:pPr>
        <w:spacing w:after="0" w:line="240" w:lineRule="auto"/>
        <w:rPr>
          <w:rFonts w:ascii="Candara" w:eastAsia="Times New Roman" w:hAnsi="Candara" w:cs="Times New Roman"/>
          <w:i/>
          <w:iCs/>
          <w:kern w:val="0"/>
          <w14:ligatures w14:val="none"/>
        </w:rPr>
      </w:pPr>
    </w:p>
    <w:p w14:paraId="32683648" w14:textId="77777777" w:rsidR="00BC72AB" w:rsidRPr="00BC72AB" w:rsidRDefault="00BC72AB" w:rsidP="00BC72AB">
      <w:pPr>
        <w:spacing w:after="0" w:line="240" w:lineRule="auto"/>
        <w:rPr>
          <w:rFonts w:ascii="Candara" w:eastAsia="Times New Roman" w:hAnsi="Candara" w:cs="Times New Roman"/>
          <w:b/>
          <w:bCs/>
          <w:i/>
          <w:iCs/>
          <w:kern w:val="0"/>
          <w14:ligatures w14:val="none"/>
        </w:rPr>
      </w:pPr>
      <w:r w:rsidRPr="00BC72AB">
        <w:rPr>
          <w:rFonts w:ascii="Candara" w:eastAsia="Times New Roman" w:hAnsi="Candara" w:cs="Times New Roman"/>
          <w:i/>
          <w:iCs/>
          <w:kern w:val="0"/>
          <w14:ligatures w14:val="none"/>
        </w:rPr>
        <w:t>DDS Success does </w:t>
      </w:r>
      <w:r w:rsidRPr="00BC72AB">
        <w:rPr>
          <w:rFonts w:ascii="Candara" w:eastAsia="Times New Roman" w:hAnsi="Candara" w:cs="Times New Roman"/>
          <w:b/>
          <w:bCs/>
          <w:i/>
          <w:iCs/>
          <w:kern w:val="0"/>
          <w14:ligatures w14:val="none"/>
        </w:rPr>
        <w:t>not</w:t>
      </w:r>
      <w:r w:rsidRPr="00BC72AB">
        <w:rPr>
          <w:rFonts w:ascii="Candara" w:eastAsia="Times New Roman" w:hAnsi="Candara" w:cs="Times New Roman"/>
          <w:i/>
          <w:iCs/>
          <w:kern w:val="0"/>
          <w14:ligatures w14:val="none"/>
        </w:rPr>
        <w:t> assume any responsibility or liability for the implementation of this protocol, nor does it guarantee clinical outcomes, compliance, or reimbursement. </w:t>
      </w:r>
      <w:r w:rsidRPr="00BC72AB">
        <w:rPr>
          <w:rFonts w:ascii="Candara" w:eastAsia="Times New Roman" w:hAnsi="Candara" w:cs="Times New Roman"/>
          <w:b/>
          <w:bCs/>
          <w:i/>
          <w:iCs/>
          <w:kern w:val="0"/>
          <w14:ligatures w14:val="none"/>
        </w:rPr>
        <w:t>Any use of this protocol without full team calibration and doctor oversight is done at the user's own risk.</w:t>
      </w:r>
    </w:p>
    <w:p w14:paraId="1A836149" w14:textId="77777777" w:rsidR="00BC72AB" w:rsidRPr="00BC72AB" w:rsidRDefault="00BC72AB" w:rsidP="00BC72AB">
      <w:pPr>
        <w:spacing w:after="0" w:line="240" w:lineRule="auto"/>
        <w:rPr>
          <w:rFonts w:ascii="Candara" w:eastAsia="Times New Roman" w:hAnsi="Candara" w:cs="Times New Roman"/>
          <w:i/>
          <w:iCs/>
          <w:kern w:val="0"/>
          <w14:ligatures w14:val="none"/>
        </w:rPr>
      </w:pPr>
    </w:p>
    <w:p w14:paraId="62F734A8" w14:textId="76148BD0" w:rsidR="00BC72AB" w:rsidRPr="00BC72AB" w:rsidRDefault="00BC72AB" w:rsidP="00BC72AB">
      <w:pPr>
        <w:spacing w:after="0" w:line="240" w:lineRule="auto"/>
        <w:rPr>
          <w:rFonts w:ascii="Candara" w:eastAsia="Times New Roman" w:hAnsi="Candara" w:cs="Times New Roman"/>
          <w:i/>
          <w:iCs/>
          <w:kern w:val="0"/>
          <w14:ligatures w14:val="none"/>
        </w:rPr>
      </w:pPr>
      <w:r w:rsidRPr="00BC72AB">
        <w:rPr>
          <w:rFonts w:ascii="Candara" w:eastAsia="Times New Roman" w:hAnsi="Candara" w:cs="Times New Roman"/>
          <w:i/>
          <w:iCs/>
          <w:kern w:val="0"/>
          <w14:ligatures w14:val="none"/>
        </w:rPr>
        <w:t>By using this sample, you acknowledge that:</w:t>
      </w:r>
      <w:r w:rsidRPr="00BC72AB">
        <w:rPr>
          <w:rFonts w:ascii="Candara" w:eastAsia="Times New Roman" w:hAnsi="Candara" w:cs="Times New Roman"/>
          <w:i/>
          <w:iCs/>
          <w:kern w:val="0"/>
          <w14:ligatures w14:val="none"/>
        </w:rPr>
        <w:br/>
      </w:r>
    </w:p>
    <w:p w14:paraId="40ABFC54" w14:textId="77777777" w:rsidR="00BC72AB" w:rsidRPr="00BC72AB" w:rsidRDefault="00BC72AB" w:rsidP="00BC72AB">
      <w:pPr>
        <w:numPr>
          <w:ilvl w:val="0"/>
          <w:numId w:val="11"/>
        </w:numPr>
        <w:spacing w:after="0" w:line="240" w:lineRule="auto"/>
        <w:rPr>
          <w:rFonts w:ascii="Candara" w:eastAsia="Times New Roman" w:hAnsi="Candara" w:cs="Times New Roman"/>
          <w:i/>
          <w:iCs/>
          <w:kern w:val="0"/>
          <w14:ligatures w14:val="none"/>
        </w:rPr>
      </w:pPr>
      <w:r w:rsidRPr="00BC72AB">
        <w:rPr>
          <w:rFonts w:ascii="Candara" w:eastAsia="Times New Roman" w:hAnsi="Candara" w:cs="Times New Roman"/>
          <w:i/>
          <w:iCs/>
          <w:kern w:val="0"/>
          <w14:ligatures w14:val="none"/>
        </w:rPr>
        <w:t>It is not a recommendation, prescription, or binding clinical policy.</w:t>
      </w:r>
    </w:p>
    <w:p w14:paraId="20FC008E" w14:textId="77777777" w:rsidR="00BC72AB" w:rsidRPr="00BC72AB" w:rsidRDefault="00BC72AB" w:rsidP="00BC72AB">
      <w:pPr>
        <w:numPr>
          <w:ilvl w:val="0"/>
          <w:numId w:val="11"/>
        </w:numPr>
        <w:spacing w:after="0" w:line="240" w:lineRule="auto"/>
        <w:rPr>
          <w:rFonts w:ascii="Candara" w:eastAsia="Times New Roman" w:hAnsi="Candara" w:cs="Times New Roman"/>
          <w:i/>
          <w:iCs/>
          <w:kern w:val="0"/>
          <w14:ligatures w14:val="none"/>
        </w:rPr>
      </w:pPr>
      <w:r w:rsidRPr="00BC72AB">
        <w:rPr>
          <w:rFonts w:ascii="Candara" w:eastAsia="Times New Roman" w:hAnsi="Candara" w:cs="Times New Roman"/>
          <w:i/>
          <w:iCs/>
          <w:kern w:val="0"/>
          <w14:ligatures w14:val="none"/>
        </w:rPr>
        <w:t>You are solely responsible for modifying and approving it for your practice.</w:t>
      </w:r>
    </w:p>
    <w:p w14:paraId="7EADF97C" w14:textId="77777777" w:rsidR="00BC72AB" w:rsidRPr="00BC72AB" w:rsidRDefault="00BC72AB" w:rsidP="00BC72AB">
      <w:pPr>
        <w:numPr>
          <w:ilvl w:val="0"/>
          <w:numId w:val="11"/>
        </w:numPr>
        <w:spacing w:after="0" w:line="240" w:lineRule="auto"/>
        <w:rPr>
          <w:rFonts w:ascii="Candara" w:eastAsia="Times New Roman" w:hAnsi="Candara" w:cs="Times New Roman"/>
          <w:i/>
          <w:iCs/>
          <w:kern w:val="0"/>
          <w14:ligatures w14:val="none"/>
        </w:rPr>
      </w:pPr>
      <w:r w:rsidRPr="00BC72AB">
        <w:rPr>
          <w:rFonts w:ascii="Candara" w:eastAsia="Times New Roman" w:hAnsi="Candara" w:cs="Times New Roman"/>
          <w:i/>
          <w:iCs/>
          <w:kern w:val="0"/>
          <w14:ligatures w14:val="none"/>
        </w:rPr>
        <w:t>DDS Success is not liable for any clinical, legal, or financial consequences that may result from its use.</w:t>
      </w:r>
    </w:p>
    <w:p w14:paraId="026EF75E" w14:textId="77777777" w:rsidR="00BC72AB" w:rsidRDefault="00BC72AB" w:rsidP="00BC72AB">
      <w:pPr>
        <w:spacing w:after="0" w:line="240" w:lineRule="auto"/>
        <w:rPr>
          <w:rFonts w:ascii="Candara" w:eastAsia="Times New Roman" w:hAnsi="Candara" w:cs="Times New Roman"/>
          <w:b/>
          <w:bCs/>
          <w:kern w:val="0"/>
          <w14:ligatures w14:val="none"/>
        </w:rPr>
      </w:pPr>
    </w:p>
    <w:p w14:paraId="73490933" w14:textId="6B6AFCBE" w:rsidR="00BC72AB" w:rsidRPr="00BC72AB" w:rsidRDefault="00BC72AB" w:rsidP="00BC72AB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BC72AB">
        <w:rPr>
          <w:rFonts w:ascii="Candara" w:eastAsia="Times New Roman" w:hAnsi="Candara" w:cs="Times New Roman"/>
          <w:b/>
          <w:bCs/>
          <w:kern w:val="0"/>
          <w14:ligatures w14:val="none"/>
        </w:rPr>
        <w:t>DO NOT IMPLEMENT THIS SAMPLE PROTOCOL WITHOUT FULL CUSTOMIZATION, DOCTOR APPROVAL, AND TEAM TRAINING.</w:t>
      </w:r>
    </w:p>
    <w:p w14:paraId="2C34793E" w14:textId="7E00FD33" w:rsidR="00A74459" w:rsidRP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741C062E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Definition of Healthy Gingiva</w:t>
      </w:r>
    </w:p>
    <w:p w14:paraId="7225F790" w14:textId="77777777" w:rsidR="00A74459" w:rsidRPr="00A74459" w:rsidRDefault="00A74459" w:rsidP="00A744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Pink, firm, and stippled tissue</w:t>
      </w:r>
    </w:p>
    <w:p w14:paraId="35973C09" w14:textId="77777777" w:rsidR="00A74459" w:rsidRPr="00A74459" w:rsidRDefault="00A74459" w:rsidP="00A744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No hemorrhaging upon probing or light instrumentation</w:t>
      </w:r>
    </w:p>
    <w:p w14:paraId="05E6EE54" w14:textId="77777777" w:rsidR="00A74459" w:rsidRPr="00A74459" w:rsidRDefault="00A74459" w:rsidP="00A744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Generalized </w:t>
      </w:r>
      <w:proofErr w:type="spellStart"/>
      <w:r w:rsidRPr="00A74459">
        <w:rPr>
          <w:rFonts w:ascii="Candara" w:eastAsia="Times New Roman" w:hAnsi="Candara" w:cs="Times New Roman"/>
          <w:kern w:val="0"/>
          <w14:ligatures w14:val="none"/>
        </w:rPr>
        <w:t>probings</w:t>
      </w:r>
      <w:proofErr w:type="spellEnd"/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between 0–3 mm</w:t>
      </w:r>
    </w:p>
    <w:p w14:paraId="0751C3D1" w14:textId="77777777" w:rsidR="00A74459" w:rsidRPr="00A74459" w:rsidRDefault="00A74459" w:rsidP="00A744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Sufficient attached gingiva present</w:t>
      </w:r>
    </w:p>
    <w:p w14:paraId="66D1DE59" w14:textId="77777777" w:rsidR="00A74459" w:rsidRPr="00A74459" w:rsidRDefault="00A74459" w:rsidP="00A744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No recession or mucogingival defects</w:t>
      </w:r>
    </w:p>
    <w:p w14:paraId="1C4BE9BB" w14:textId="77777777" w:rsidR="00A74459" w:rsidRPr="00A74459" w:rsidRDefault="00A74459" w:rsidP="00A744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Sufficient bone support visible radiographically and clinically</w:t>
      </w:r>
    </w:p>
    <w:p w14:paraId="275265E7" w14:textId="06FE88CA" w:rsidR="00A74459" w:rsidRP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1F1C26E3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Clinical Team Responsibilities</w:t>
      </w:r>
    </w:p>
    <w:p w14:paraId="160C8F62" w14:textId="77777777" w:rsidR="00A74459" w:rsidRPr="00A74459" w:rsidRDefault="00A74459" w:rsidP="00A744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Evaluate and identify any periodontal problems</w:t>
      </w:r>
    </w:p>
    <w:p w14:paraId="7AE56FED" w14:textId="77777777" w:rsidR="00A74459" w:rsidRPr="00A74459" w:rsidRDefault="00A74459" w:rsidP="00A744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Have the dentist </w:t>
      </w:r>
      <w:proofErr w:type="gramStart"/>
      <w:r w:rsidRPr="00A74459">
        <w:rPr>
          <w:rFonts w:ascii="Candara" w:eastAsia="Times New Roman" w:hAnsi="Candara" w:cs="Times New Roman"/>
          <w:kern w:val="0"/>
          <w14:ligatures w14:val="none"/>
        </w:rPr>
        <w:t>confirm</w:t>
      </w:r>
      <w:proofErr w:type="gramEnd"/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all diagnoses</w:t>
      </w:r>
    </w:p>
    <w:p w14:paraId="4F03C252" w14:textId="77777777" w:rsidR="00A74459" w:rsidRPr="00A74459" w:rsidRDefault="00A74459" w:rsidP="00A744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Educate patients on their periodontal status and treatment options</w:t>
      </w:r>
    </w:p>
    <w:p w14:paraId="5E429AEE" w14:textId="77777777" w:rsidR="00A74459" w:rsidRPr="00A74459" w:rsidRDefault="00A74459" w:rsidP="00A744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Discuss both short-term and long-term treatment options</w:t>
      </w:r>
    </w:p>
    <w:p w14:paraId="3C3E7FD1" w14:textId="77777777" w:rsidR="00A74459" w:rsidRPr="00A74459" w:rsidRDefault="00A74459" w:rsidP="00A744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Align patient care with their personal health goals</w:t>
      </w:r>
    </w:p>
    <w:p w14:paraId="44BA4938" w14:textId="77777777" w:rsidR="00A74459" w:rsidRPr="00A74459" w:rsidRDefault="00A74459" w:rsidP="00A74459">
      <w:pPr>
        <w:spacing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Note:</w:t>
      </w:r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Be confident in diagnosis and treatment recommendations. Always present a "Plan B" to accommodate varying levels of financial and time commitment.</w:t>
      </w:r>
    </w:p>
    <w:p w14:paraId="3997D072" w14:textId="3FA05476" w:rsidR="00A74459" w:rsidRPr="00A74459" w:rsidRDefault="00BC72AB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  <w:r>
        <w:rPr>
          <w:rFonts w:ascii="Candara" w:eastAsia="Times New Roman" w:hAnsi="Candara" w:cs="Times New Roman"/>
          <w:kern w:val="0"/>
          <w14:ligatures w14:val="none"/>
        </w:rPr>
        <w:t>_____________________________________________________________________________</w:t>
      </w:r>
    </w:p>
    <w:p w14:paraId="0B36C00D" w14:textId="77777777" w:rsidR="00A74459" w:rsidRDefault="00A74459" w:rsidP="00A74459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kern w:val="0"/>
          <w14:ligatures w14:val="none"/>
        </w:rPr>
      </w:pPr>
    </w:p>
    <w:p w14:paraId="10247CDC" w14:textId="730F8FC2" w:rsidR="00A74459" w:rsidRPr="00A74459" w:rsidRDefault="00A74459" w:rsidP="00A74459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 xml:space="preserve">PERIODONTAL DISEASE TYPE </w:t>
      </w:r>
      <w:r w:rsidR="00BC72AB">
        <w:rPr>
          <w:rFonts w:ascii="Candara" w:eastAsia="Times New Roman" w:hAnsi="Candara" w:cs="Times New Roman"/>
          <w:b/>
          <w:bCs/>
          <w:kern w:val="0"/>
          <w14:ligatures w14:val="none"/>
        </w:rPr>
        <w:t>0</w:t>
      </w:r>
    </w:p>
    <w:p w14:paraId="62213768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3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Evaluation</w:t>
      </w:r>
    </w:p>
    <w:p w14:paraId="2F577962" w14:textId="77777777" w:rsidR="00A74459" w:rsidRPr="00A74459" w:rsidRDefault="00A74459" w:rsidP="00A744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Localized light plaque and calculus</w:t>
      </w:r>
    </w:p>
    <w:p w14:paraId="49D86DF5" w14:textId="77777777" w:rsidR="00A74459" w:rsidRPr="00A74459" w:rsidRDefault="00A74459" w:rsidP="00A744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Pink, firm, stippled gingiva</w:t>
      </w:r>
    </w:p>
    <w:p w14:paraId="0EFF232D" w14:textId="77777777" w:rsidR="00A74459" w:rsidRPr="00A74459" w:rsidRDefault="00A74459" w:rsidP="00A744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No hemorrhaging upon probing or instrumentation</w:t>
      </w:r>
    </w:p>
    <w:p w14:paraId="6CF540A6" w14:textId="77777777" w:rsidR="00A74459" w:rsidRPr="00A74459" w:rsidRDefault="00A74459" w:rsidP="00A744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Generalized </w:t>
      </w:r>
      <w:proofErr w:type="spellStart"/>
      <w:r w:rsidRPr="00A74459">
        <w:rPr>
          <w:rFonts w:ascii="Candara" w:eastAsia="Times New Roman" w:hAnsi="Candara" w:cs="Times New Roman"/>
          <w:kern w:val="0"/>
          <w14:ligatures w14:val="none"/>
        </w:rPr>
        <w:t>probings</w:t>
      </w:r>
      <w:proofErr w:type="spellEnd"/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between 0–3 mm</w:t>
      </w:r>
    </w:p>
    <w:p w14:paraId="17BE0F34" w14:textId="77777777" w:rsidR="00A74459" w:rsidRPr="00A74459" w:rsidRDefault="00A74459" w:rsidP="00A744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Smooth root surfaces upon exploration</w:t>
      </w:r>
    </w:p>
    <w:p w14:paraId="7159EAC5" w14:textId="77777777" w:rsidR="00A74459" w:rsidRPr="00A74459" w:rsidRDefault="00A74459" w:rsidP="00A744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No bone loss seen radiographically or clinically</w:t>
      </w:r>
    </w:p>
    <w:p w14:paraId="21908034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3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Diagnosis</w:t>
      </w:r>
    </w:p>
    <w:p w14:paraId="3F930F73" w14:textId="77777777" w:rsidR="00A74459" w:rsidRPr="00A74459" w:rsidRDefault="00A74459" w:rsidP="00A74459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Healthy periodontal status</w:t>
      </w:r>
    </w:p>
    <w:p w14:paraId="07C49056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3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Treatment Prescribed</w:t>
      </w:r>
    </w:p>
    <w:p w14:paraId="1AE1F9C1" w14:textId="77777777" w:rsidR="00A74459" w:rsidRPr="00A74459" w:rsidRDefault="00A74459" w:rsidP="00A744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Prophylaxis every 6 months</w:t>
      </w:r>
    </w:p>
    <w:p w14:paraId="6A3711AA" w14:textId="77777777" w:rsidR="00A74459" w:rsidRPr="00A74459" w:rsidRDefault="00A74459" w:rsidP="00A744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Annual periodontal charting</w:t>
      </w:r>
    </w:p>
    <w:p w14:paraId="5DAD9B92" w14:textId="77777777" w:rsidR="00A74459" w:rsidRPr="00A74459" w:rsidRDefault="00A74459" w:rsidP="00A744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Yearly PA (4), bitewing x-rays, and doctor exam</w:t>
      </w:r>
    </w:p>
    <w:p w14:paraId="683610B2" w14:textId="77777777" w:rsidR="00A74459" w:rsidRPr="00A74459" w:rsidRDefault="00A74459" w:rsidP="00A744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Full-mouth x-rays every 3–5 years</w:t>
      </w:r>
    </w:p>
    <w:p w14:paraId="7D2B62A3" w14:textId="77777777" w:rsidR="00A74459" w:rsidRPr="00A74459" w:rsidRDefault="00A74459" w:rsidP="00A744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Homecare instructions reviewed at every visit</w:t>
      </w:r>
    </w:p>
    <w:p w14:paraId="04740F97" w14:textId="77777777" w:rsidR="00A74459" w:rsidRPr="00A74459" w:rsidRDefault="00A74459" w:rsidP="00A74459">
      <w:pPr>
        <w:spacing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Note:</w:t>
      </w:r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Patient may remain on 6-month prophy recall if this level of health is maintained.</w:t>
      </w:r>
    </w:p>
    <w:p w14:paraId="7386B772" w14:textId="122AFEBA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006CE3FA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04FBCE47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123874F9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PERIODONTAL DISEASE TYPE I</w:t>
      </w:r>
    </w:p>
    <w:p w14:paraId="6F6BDD03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3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Evaluation</w:t>
      </w:r>
    </w:p>
    <w:p w14:paraId="180AB7A6" w14:textId="77777777" w:rsidR="00A74459" w:rsidRPr="00A74459" w:rsidRDefault="00A74459" w:rsidP="00A744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Generalized light to localized moderate supra/subgingival plaque and calculus</w:t>
      </w:r>
    </w:p>
    <w:p w14:paraId="6E342302" w14:textId="77777777" w:rsidR="00A74459" w:rsidRPr="00A74459" w:rsidRDefault="00A74459" w:rsidP="00A744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Localized or generalized gingival inflammation</w:t>
      </w:r>
    </w:p>
    <w:p w14:paraId="612FFD69" w14:textId="77777777" w:rsidR="00A74459" w:rsidRPr="00A74459" w:rsidRDefault="00A74459" w:rsidP="00A744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Generalized slight hemorrhaging upon probing</w:t>
      </w:r>
    </w:p>
    <w:p w14:paraId="09197E63" w14:textId="77777777" w:rsidR="00A74459" w:rsidRPr="00A74459" w:rsidRDefault="00A74459" w:rsidP="00A744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Generalized probing depths 3 mm, localized at 4 mm</w:t>
      </w:r>
    </w:p>
    <w:p w14:paraId="32125C41" w14:textId="77777777" w:rsidR="00A74459" w:rsidRPr="00A74459" w:rsidRDefault="00A74459" w:rsidP="00A744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Smooth root surfaces</w:t>
      </w:r>
    </w:p>
    <w:p w14:paraId="0569FD9D" w14:textId="77777777" w:rsidR="00A74459" w:rsidRPr="00A74459" w:rsidRDefault="00A74459" w:rsidP="00A744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No radiographic bone loss</w:t>
      </w:r>
    </w:p>
    <w:p w14:paraId="4E3314E6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3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Diagnosis</w:t>
      </w:r>
    </w:p>
    <w:p w14:paraId="18B5A37C" w14:textId="77777777" w:rsidR="00A74459" w:rsidRPr="00A74459" w:rsidRDefault="00A74459" w:rsidP="00A74459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Gingivitis (Stage I periodontal disease)</w:t>
      </w:r>
    </w:p>
    <w:p w14:paraId="0B4D7D0E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3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Treatment Prescribed</w:t>
      </w:r>
    </w:p>
    <w:p w14:paraId="36C32D9F" w14:textId="77777777" w:rsidR="00A74459" w:rsidRPr="00A74459" w:rsidRDefault="00A74459" w:rsidP="00A744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Full </w:t>
      </w:r>
      <w:proofErr w:type="spellStart"/>
      <w:r w:rsidRPr="00A74459">
        <w:rPr>
          <w:rFonts w:ascii="Candara" w:eastAsia="Times New Roman" w:hAnsi="Candara" w:cs="Times New Roman"/>
          <w:kern w:val="0"/>
          <w14:ligatures w14:val="none"/>
        </w:rPr>
        <w:t>perio</w:t>
      </w:r>
      <w:proofErr w:type="spellEnd"/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charting</w:t>
      </w:r>
    </w:p>
    <w:p w14:paraId="78B9F4B1" w14:textId="77777777" w:rsidR="00A74459" w:rsidRPr="00A74459" w:rsidRDefault="00A74459" w:rsidP="00A744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Prophy scale and polish 1–2 weeks post-evaluation</w:t>
      </w:r>
    </w:p>
    <w:p w14:paraId="10ED1287" w14:textId="77777777" w:rsidR="00A74459" w:rsidRPr="00A74459" w:rsidRDefault="00A74459" w:rsidP="00A744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Topical anesthetic as needed</w:t>
      </w:r>
    </w:p>
    <w:p w14:paraId="71EC91FE" w14:textId="77777777" w:rsidR="00A74459" w:rsidRPr="00A74459" w:rsidRDefault="00A74459" w:rsidP="00A744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4-month prophy recall and reevaluation</w:t>
      </w:r>
    </w:p>
    <w:p w14:paraId="1BA9AC05" w14:textId="77777777" w:rsidR="00A74459" w:rsidRPr="00A74459" w:rsidRDefault="00A74459" w:rsidP="00A744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Continue 4-month recall for 1 year, then evaluate return to 6-month recall</w:t>
      </w:r>
    </w:p>
    <w:p w14:paraId="57390146" w14:textId="77777777" w:rsidR="00A74459" w:rsidRPr="00A74459" w:rsidRDefault="00A74459" w:rsidP="00A744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Yearly bitewing x-rays and exam with doctor</w:t>
      </w:r>
    </w:p>
    <w:p w14:paraId="40F2C2E1" w14:textId="77777777" w:rsidR="00A74459" w:rsidRPr="00A74459" w:rsidRDefault="00A74459" w:rsidP="00A744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Full-mouth x-rays every 3–5 years</w:t>
      </w:r>
    </w:p>
    <w:p w14:paraId="3C2B1385" w14:textId="77777777" w:rsidR="00A74459" w:rsidRPr="00A74459" w:rsidRDefault="00A74459" w:rsidP="00A744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Homecare reviewed and reinforced every visit</w:t>
      </w:r>
    </w:p>
    <w:p w14:paraId="5B98B0BA" w14:textId="77777777" w:rsidR="00A74459" w:rsidRPr="00A74459" w:rsidRDefault="00A74459" w:rsidP="00A74459">
      <w:pPr>
        <w:spacing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Note:</w:t>
      </w:r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If </w:t>
      </w:r>
      <w:proofErr w:type="gramStart"/>
      <w:r w:rsidRPr="00A74459">
        <w:rPr>
          <w:rFonts w:ascii="Candara" w:eastAsia="Times New Roman" w:hAnsi="Candara" w:cs="Times New Roman"/>
          <w:kern w:val="0"/>
          <w14:ligatures w14:val="none"/>
        </w:rPr>
        <w:t>patient</w:t>
      </w:r>
      <w:proofErr w:type="gramEnd"/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fails to maintain health, escalate to Type II protocol.</w:t>
      </w:r>
    </w:p>
    <w:p w14:paraId="0BC0C07E" w14:textId="2FA14021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428764E4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4416BCBB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0D8F336C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2B5C04DE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447171AB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789DD42F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51AFFA42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69AF9A46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71B6EF16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00A7D228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50733A7E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2E250CCB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6E81CF5F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04C889E0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5FF19340" w14:textId="77777777" w:rsidR="00A74459" w:rsidRP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7CA54AFB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PERIODONTAL DISEASE TYPE II</w:t>
      </w:r>
    </w:p>
    <w:p w14:paraId="1AA6112E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3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Evaluation</w:t>
      </w:r>
    </w:p>
    <w:p w14:paraId="6FEDDA04" w14:textId="77777777" w:rsidR="00A74459" w:rsidRPr="00A74459" w:rsidRDefault="00A74459" w:rsidP="00A744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Generalized moderate supra/subgingival plaque and calculus</w:t>
      </w:r>
    </w:p>
    <w:p w14:paraId="12D1B029" w14:textId="77777777" w:rsidR="00A74459" w:rsidRPr="00A74459" w:rsidRDefault="00A74459" w:rsidP="00A744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Generalized gingival inflammation</w:t>
      </w:r>
    </w:p>
    <w:p w14:paraId="115FCD2B" w14:textId="77777777" w:rsidR="00A74459" w:rsidRPr="00A74459" w:rsidRDefault="00A74459" w:rsidP="00A744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Moderate hemorrhaging on probing</w:t>
      </w:r>
    </w:p>
    <w:p w14:paraId="234EADE9" w14:textId="77777777" w:rsidR="00A74459" w:rsidRPr="00A74459" w:rsidRDefault="00A74459" w:rsidP="00A744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Probing depths 4 mm (localized at 5 mm)</w:t>
      </w:r>
    </w:p>
    <w:p w14:paraId="1C727B78" w14:textId="77777777" w:rsidR="00A74459" w:rsidRPr="00A74459" w:rsidRDefault="00A74459" w:rsidP="00A744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Rough root surfaces</w:t>
      </w:r>
    </w:p>
    <w:p w14:paraId="6EF76A6E" w14:textId="77777777" w:rsidR="00A74459" w:rsidRPr="00A74459" w:rsidRDefault="00A74459" w:rsidP="00A744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Possible medium muco-gingival defects</w:t>
      </w:r>
    </w:p>
    <w:p w14:paraId="24BAF4E0" w14:textId="77777777" w:rsidR="00A74459" w:rsidRPr="00A74459" w:rsidRDefault="00A74459" w:rsidP="00A744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Possible localized bone loss</w:t>
      </w:r>
    </w:p>
    <w:p w14:paraId="3350F30B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3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Diagnosis</w:t>
      </w:r>
    </w:p>
    <w:p w14:paraId="4388B347" w14:textId="77777777" w:rsidR="00A74459" w:rsidRPr="00A74459" w:rsidRDefault="00A74459" w:rsidP="00A74459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Early Periodontitis (Stage II)</w:t>
      </w:r>
    </w:p>
    <w:p w14:paraId="6E52932A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3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Treatment Prescribed</w:t>
      </w:r>
    </w:p>
    <w:p w14:paraId="70E4B36E" w14:textId="77777777" w:rsidR="00A74459" w:rsidRPr="00A74459" w:rsidRDefault="00A74459" w:rsidP="00A744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Full </w:t>
      </w:r>
      <w:proofErr w:type="spellStart"/>
      <w:r w:rsidRPr="00A74459">
        <w:rPr>
          <w:rFonts w:ascii="Candara" w:eastAsia="Times New Roman" w:hAnsi="Candara" w:cs="Times New Roman"/>
          <w:kern w:val="0"/>
          <w14:ligatures w14:val="none"/>
        </w:rPr>
        <w:t>perio</w:t>
      </w:r>
      <w:proofErr w:type="spellEnd"/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charting</w:t>
      </w:r>
    </w:p>
    <w:p w14:paraId="10C488DC" w14:textId="77777777" w:rsidR="00A74459" w:rsidRPr="00A74459" w:rsidRDefault="00A74459" w:rsidP="00A744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SRP appointments:</w:t>
      </w:r>
    </w:p>
    <w:p w14:paraId="5EC32A2D" w14:textId="77777777" w:rsidR="00A74459" w:rsidRPr="00A74459" w:rsidRDefault="00A74459" w:rsidP="00A7445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Appointment #1: Right side SRP with anesthesia, </w:t>
      </w:r>
      <w:proofErr w:type="spellStart"/>
      <w:r w:rsidRPr="00A74459">
        <w:rPr>
          <w:rFonts w:ascii="Candara" w:eastAsia="Times New Roman" w:hAnsi="Candara" w:cs="Times New Roman"/>
          <w:kern w:val="0"/>
          <w14:ligatures w14:val="none"/>
        </w:rPr>
        <w:t>Peridex</w:t>
      </w:r>
      <w:proofErr w:type="spellEnd"/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products dispensed</w:t>
      </w:r>
    </w:p>
    <w:p w14:paraId="0035DA6A" w14:textId="77777777" w:rsidR="00A74459" w:rsidRPr="00A74459" w:rsidRDefault="00A74459" w:rsidP="00A7445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Appointment #2: Left side SRP with anesthesia</w:t>
      </w:r>
    </w:p>
    <w:p w14:paraId="2D08D4B9" w14:textId="77777777" w:rsidR="00A74459" w:rsidRPr="00A74459" w:rsidRDefault="00A74459" w:rsidP="00A7445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Appointment #3: Follow-up reevaluation and polish 2–4 weeks later</w:t>
      </w:r>
    </w:p>
    <w:p w14:paraId="46D58A3C" w14:textId="77777777" w:rsidR="00A74459" w:rsidRPr="00A74459" w:rsidRDefault="00A74459" w:rsidP="00A744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3-month periodontal maintenance (PM) recall ongoing</w:t>
      </w:r>
    </w:p>
    <w:p w14:paraId="0924FD89" w14:textId="77777777" w:rsidR="00A74459" w:rsidRPr="00A74459" w:rsidRDefault="00A74459" w:rsidP="00A744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6-month bitewing x-rays and doctor exam</w:t>
      </w:r>
    </w:p>
    <w:p w14:paraId="6B1F2D29" w14:textId="77777777" w:rsidR="00A74459" w:rsidRPr="00A74459" w:rsidRDefault="00A74459" w:rsidP="00A744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Full-mouth x-rays every 3–5 years</w:t>
      </w:r>
    </w:p>
    <w:p w14:paraId="2614672C" w14:textId="77777777" w:rsidR="00A74459" w:rsidRPr="00A74459" w:rsidRDefault="00A74459" w:rsidP="00A744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Review homecare and monitor progress at each visit</w:t>
      </w:r>
    </w:p>
    <w:p w14:paraId="77C6BE66" w14:textId="77777777" w:rsidR="00A74459" w:rsidRPr="00A74459" w:rsidRDefault="00A74459" w:rsidP="00A74459">
      <w:pPr>
        <w:spacing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Note:</w:t>
      </w:r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Long-term 3-month recall mandatory. Address lack of progress with homecare and medical review.</w:t>
      </w:r>
    </w:p>
    <w:p w14:paraId="1E8350D5" w14:textId="51AAF8AF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2450205F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036DEFFE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314A55AF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3FA98CF2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61BBFEF1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4A2E714F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759E5779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3AA5BA8B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1FCF351E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00D3C1CC" w14:textId="77777777" w:rsid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62545518" w14:textId="77777777" w:rsidR="00A74459" w:rsidRP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2EC0C5EF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PERIODONTAL DISEASE TYPE III</w:t>
      </w:r>
    </w:p>
    <w:p w14:paraId="3551EC26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3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Evaluation</w:t>
      </w:r>
    </w:p>
    <w:p w14:paraId="22DD3C55" w14:textId="77777777" w:rsidR="00A74459" w:rsidRPr="00A74459" w:rsidRDefault="00A74459" w:rsidP="00A744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Moderate to heavy supra/subgingival plaque and calculus</w:t>
      </w:r>
    </w:p>
    <w:p w14:paraId="1C604A25" w14:textId="77777777" w:rsidR="00A74459" w:rsidRPr="00A74459" w:rsidRDefault="00A74459" w:rsidP="00A744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Generalized gingival inflammation</w:t>
      </w:r>
    </w:p>
    <w:p w14:paraId="350928EF" w14:textId="77777777" w:rsidR="00A74459" w:rsidRPr="00A74459" w:rsidRDefault="00A74459" w:rsidP="00A744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Moderate to heavy hemorrhaging</w:t>
      </w:r>
    </w:p>
    <w:p w14:paraId="3B743B35" w14:textId="77777777" w:rsidR="00A74459" w:rsidRPr="00A74459" w:rsidRDefault="00A74459" w:rsidP="00A744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Probing depths 4–5 mm with localized 6–8+ mm</w:t>
      </w:r>
    </w:p>
    <w:p w14:paraId="751026AF" w14:textId="77777777" w:rsidR="00A74459" w:rsidRPr="00A74459" w:rsidRDefault="00A74459" w:rsidP="00A744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Rough root surfaces</w:t>
      </w:r>
    </w:p>
    <w:p w14:paraId="07A8FDE4" w14:textId="77777777" w:rsidR="00A74459" w:rsidRPr="00A74459" w:rsidRDefault="00A74459" w:rsidP="00A744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Generalized/localized mucogingival defects and bone loss</w:t>
      </w:r>
    </w:p>
    <w:p w14:paraId="7920C01C" w14:textId="77777777" w:rsidR="00A74459" w:rsidRPr="00A74459" w:rsidRDefault="00A74459" w:rsidP="00A744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Possible tooth mobility</w:t>
      </w:r>
    </w:p>
    <w:p w14:paraId="7876D96C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3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Diagnosis</w:t>
      </w:r>
    </w:p>
    <w:p w14:paraId="027FE9C4" w14:textId="77777777" w:rsidR="00A74459" w:rsidRPr="00A74459" w:rsidRDefault="00A74459" w:rsidP="00A74459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Moderate Periodontitis (Stage III)</w:t>
      </w:r>
    </w:p>
    <w:p w14:paraId="0037BC7A" w14:textId="77777777" w:rsidR="00A74459" w:rsidRPr="00A74459" w:rsidRDefault="00A74459" w:rsidP="00A74459">
      <w:pPr>
        <w:spacing w:before="100" w:beforeAutospacing="1" w:after="100" w:afterAutospacing="1" w:line="240" w:lineRule="auto"/>
        <w:outlineLvl w:val="3"/>
        <w:rPr>
          <w:rFonts w:ascii="Candara" w:eastAsia="Times New Roman" w:hAnsi="Candara" w:cs="Times New Roman"/>
          <w:b/>
          <w:bCs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Treatment Prescribed</w:t>
      </w:r>
    </w:p>
    <w:p w14:paraId="7546579B" w14:textId="77777777" w:rsidR="00A74459" w:rsidRPr="00A74459" w:rsidRDefault="00A74459" w:rsidP="00A7445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Full </w:t>
      </w:r>
      <w:proofErr w:type="spellStart"/>
      <w:r w:rsidRPr="00A74459">
        <w:rPr>
          <w:rFonts w:ascii="Candara" w:eastAsia="Times New Roman" w:hAnsi="Candara" w:cs="Times New Roman"/>
          <w:kern w:val="0"/>
          <w14:ligatures w14:val="none"/>
        </w:rPr>
        <w:t>perio</w:t>
      </w:r>
      <w:proofErr w:type="spellEnd"/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charting</w:t>
      </w:r>
    </w:p>
    <w:p w14:paraId="269BCA7E" w14:textId="77777777" w:rsidR="00A74459" w:rsidRPr="00A74459" w:rsidRDefault="00A74459" w:rsidP="00A7445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SRP appointments:</w:t>
      </w:r>
    </w:p>
    <w:p w14:paraId="41B410BA" w14:textId="77777777" w:rsidR="00A74459" w:rsidRPr="00A74459" w:rsidRDefault="00A74459" w:rsidP="00A7445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Appointment #1: Right side SRP with anesthesia; provide </w:t>
      </w:r>
      <w:proofErr w:type="spellStart"/>
      <w:r w:rsidRPr="00A74459">
        <w:rPr>
          <w:rFonts w:ascii="Candara" w:eastAsia="Times New Roman" w:hAnsi="Candara" w:cs="Times New Roman"/>
          <w:kern w:val="0"/>
          <w14:ligatures w14:val="none"/>
        </w:rPr>
        <w:t>Peridex</w:t>
      </w:r>
      <w:proofErr w:type="spellEnd"/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and </w:t>
      </w:r>
      <w:proofErr w:type="spellStart"/>
      <w:r w:rsidRPr="00A74459">
        <w:rPr>
          <w:rFonts w:ascii="Candara" w:eastAsia="Times New Roman" w:hAnsi="Candara" w:cs="Times New Roman"/>
          <w:kern w:val="0"/>
          <w14:ligatures w14:val="none"/>
        </w:rPr>
        <w:t>Prolact</w:t>
      </w:r>
      <w:proofErr w:type="spellEnd"/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products</w:t>
      </w:r>
    </w:p>
    <w:p w14:paraId="33F277F4" w14:textId="77777777" w:rsidR="00A74459" w:rsidRPr="00A74459" w:rsidRDefault="00A74459" w:rsidP="00A7445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Appointment #2: Left side SRP with anesthesia</w:t>
      </w:r>
    </w:p>
    <w:p w14:paraId="77F090F2" w14:textId="77777777" w:rsidR="00A74459" w:rsidRPr="00A74459" w:rsidRDefault="00A74459" w:rsidP="00A74459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Appointment #3: Reevaluation and polish 3–4 weeks later</w:t>
      </w:r>
    </w:p>
    <w:p w14:paraId="62F594CA" w14:textId="77777777" w:rsidR="00A74459" w:rsidRPr="00A74459" w:rsidRDefault="00A74459" w:rsidP="00A7445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2–</w:t>
      </w:r>
      <w:proofErr w:type="gramStart"/>
      <w:r w:rsidRPr="00A74459">
        <w:rPr>
          <w:rFonts w:ascii="Candara" w:eastAsia="Times New Roman" w:hAnsi="Candara" w:cs="Times New Roman"/>
          <w:kern w:val="0"/>
          <w14:ligatures w14:val="none"/>
        </w:rPr>
        <w:t>3 month</w:t>
      </w:r>
      <w:proofErr w:type="gramEnd"/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PM recall ongoing</w:t>
      </w:r>
    </w:p>
    <w:p w14:paraId="0259F369" w14:textId="77777777" w:rsidR="00A74459" w:rsidRPr="00A74459" w:rsidRDefault="00A74459" w:rsidP="00A7445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Irrigation and topical anesthetics as needed</w:t>
      </w:r>
    </w:p>
    <w:p w14:paraId="4FDBB772" w14:textId="77777777" w:rsidR="00A74459" w:rsidRPr="00A74459" w:rsidRDefault="00A74459" w:rsidP="00A7445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Consider periodontal referral where appropriate</w:t>
      </w:r>
    </w:p>
    <w:p w14:paraId="3B196204" w14:textId="77777777" w:rsidR="00A74459" w:rsidRPr="00A74459" w:rsidRDefault="00A74459" w:rsidP="00A7445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Full charting every 6–12 months</w:t>
      </w:r>
    </w:p>
    <w:p w14:paraId="57D1F683" w14:textId="77777777" w:rsidR="00A74459" w:rsidRPr="00A74459" w:rsidRDefault="00A74459" w:rsidP="00A7445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Full-mouth x-rays every 2–3 years</w:t>
      </w:r>
    </w:p>
    <w:p w14:paraId="2CEAEF3C" w14:textId="77777777" w:rsidR="00A74459" w:rsidRPr="00A74459" w:rsidRDefault="00A74459" w:rsidP="00A7445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kern w:val="0"/>
          <w14:ligatures w14:val="none"/>
        </w:rPr>
        <w:t>Monitor and reinforce homecare continually</w:t>
      </w:r>
    </w:p>
    <w:p w14:paraId="4BE89D00" w14:textId="77777777" w:rsidR="00A74459" w:rsidRPr="00A74459" w:rsidRDefault="00A74459" w:rsidP="00A74459">
      <w:pPr>
        <w:spacing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Note:</w:t>
      </w:r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Strict 2–3 month recall intervals required. Reinforce homecare and update medical history regularly.</w:t>
      </w:r>
    </w:p>
    <w:p w14:paraId="35DBD86D" w14:textId="585157AD" w:rsidR="00A74459" w:rsidRPr="00A74459" w:rsidRDefault="00A74459" w:rsidP="00A74459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p w14:paraId="4E0A95C1" w14:textId="7453A4AF" w:rsidR="00A74459" w:rsidRPr="00A74459" w:rsidRDefault="00A74459" w:rsidP="00A74459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14:ligatures w14:val="none"/>
        </w:rPr>
      </w:pP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HYGIENIST SIGNATURE:</w:t>
      </w:r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</w:t>
      </w:r>
      <w:r>
        <w:rPr>
          <w:rFonts w:ascii="Candara" w:eastAsia="Times New Roman" w:hAnsi="Candara" w:cs="Times New Roman"/>
          <w:kern w:val="0"/>
          <w14:ligatures w14:val="none"/>
        </w:rPr>
        <w:tab/>
      </w:r>
      <w:r w:rsidRPr="00A74459">
        <w:rPr>
          <w:rFonts w:ascii="Candara" w:eastAsia="Times New Roman" w:hAnsi="Candara" w:cs="Times New Roman"/>
          <w:kern w:val="0"/>
          <w14:ligatures w14:val="none"/>
        </w:rPr>
        <w:t>____________________</w:t>
      </w:r>
      <w:r w:rsidRPr="00A74459">
        <w:rPr>
          <w:rFonts w:ascii="Candara" w:eastAsia="Times New Roman" w:hAnsi="Candara" w:cs="Times New Roman"/>
          <w:kern w:val="0"/>
          <w14:ligatures w14:val="none"/>
        </w:rPr>
        <w:br/>
      </w: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DATE:</w:t>
      </w:r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</w:t>
      </w:r>
      <w:r>
        <w:rPr>
          <w:rFonts w:ascii="Candara" w:eastAsia="Times New Roman" w:hAnsi="Candara" w:cs="Times New Roman"/>
          <w:kern w:val="0"/>
          <w14:ligatures w14:val="none"/>
        </w:rPr>
        <w:tab/>
      </w:r>
      <w:r>
        <w:rPr>
          <w:rFonts w:ascii="Candara" w:eastAsia="Times New Roman" w:hAnsi="Candara" w:cs="Times New Roman"/>
          <w:kern w:val="0"/>
          <w14:ligatures w14:val="none"/>
        </w:rPr>
        <w:tab/>
      </w:r>
      <w:r>
        <w:rPr>
          <w:rFonts w:ascii="Candara" w:eastAsia="Times New Roman" w:hAnsi="Candara" w:cs="Times New Roman"/>
          <w:kern w:val="0"/>
          <w14:ligatures w14:val="none"/>
        </w:rPr>
        <w:tab/>
      </w:r>
      <w:r>
        <w:rPr>
          <w:rFonts w:ascii="Candara" w:eastAsia="Times New Roman" w:hAnsi="Candara" w:cs="Times New Roman"/>
          <w:kern w:val="0"/>
          <w14:ligatures w14:val="none"/>
        </w:rPr>
        <w:tab/>
      </w:r>
      <w:r w:rsidRPr="00A74459">
        <w:rPr>
          <w:rFonts w:ascii="Candara" w:eastAsia="Times New Roman" w:hAnsi="Candara" w:cs="Times New Roman"/>
          <w:kern w:val="0"/>
          <w14:ligatures w14:val="none"/>
        </w:rPr>
        <w:t>____________________</w:t>
      </w:r>
      <w:r w:rsidRPr="00A74459">
        <w:rPr>
          <w:rFonts w:ascii="Candara" w:eastAsia="Times New Roman" w:hAnsi="Candara" w:cs="Times New Roman"/>
          <w:kern w:val="0"/>
          <w14:ligatures w14:val="none"/>
        </w:rPr>
        <w:br/>
      </w:r>
      <w:r w:rsidRPr="00A74459">
        <w:rPr>
          <w:rFonts w:ascii="Candara" w:eastAsia="Times New Roman" w:hAnsi="Candara" w:cs="Times New Roman"/>
          <w:b/>
          <w:bCs/>
          <w:kern w:val="0"/>
          <w14:ligatures w14:val="none"/>
        </w:rPr>
        <w:t>APPROVED BY DR.:</w:t>
      </w:r>
      <w:r w:rsidRPr="00A74459">
        <w:rPr>
          <w:rFonts w:ascii="Candara" w:eastAsia="Times New Roman" w:hAnsi="Candara" w:cs="Times New Roman"/>
          <w:kern w:val="0"/>
          <w14:ligatures w14:val="none"/>
        </w:rPr>
        <w:t xml:space="preserve"> </w:t>
      </w:r>
      <w:r>
        <w:rPr>
          <w:rFonts w:ascii="Candara" w:eastAsia="Times New Roman" w:hAnsi="Candara" w:cs="Times New Roman"/>
          <w:kern w:val="0"/>
          <w14:ligatures w14:val="none"/>
        </w:rPr>
        <w:tab/>
      </w:r>
      <w:r>
        <w:rPr>
          <w:rFonts w:ascii="Candara" w:eastAsia="Times New Roman" w:hAnsi="Candara" w:cs="Times New Roman"/>
          <w:kern w:val="0"/>
          <w14:ligatures w14:val="none"/>
        </w:rPr>
        <w:tab/>
      </w:r>
      <w:r w:rsidRPr="00A74459">
        <w:rPr>
          <w:rFonts w:ascii="Candara" w:eastAsia="Times New Roman" w:hAnsi="Candara" w:cs="Times New Roman"/>
          <w:kern w:val="0"/>
          <w14:ligatures w14:val="none"/>
        </w:rPr>
        <w:t>____________________</w:t>
      </w:r>
    </w:p>
    <w:p w14:paraId="34D1DD98" w14:textId="77777777" w:rsidR="0058392C" w:rsidRPr="00A74459" w:rsidRDefault="0058392C">
      <w:pPr>
        <w:rPr>
          <w:rFonts w:ascii="Candara" w:hAnsi="Candara"/>
        </w:rPr>
      </w:pPr>
    </w:p>
    <w:sectPr w:rsidR="0058392C" w:rsidRPr="00A74459" w:rsidSect="00BC7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A87"/>
    <w:multiLevelType w:val="multilevel"/>
    <w:tmpl w:val="B2C24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3134D"/>
    <w:multiLevelType w:val="multilevel"/>
    <w:tmpl w:val="315C2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56C0A"/>
    <w:multiLevelType w:val="multilevel"/>
    <w:tmpl w:val="304C4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94171C"/>
    <w:multiLevelType w:val="multilevel"/>
    <w:tmpl w:val="61988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DE2F9D"/>
    <w:multiLevelType w:val="multilevel"/>
    <w:tmpl w:val="C30AE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F0635F"/>
    <w:multiLevelType w:val="multilevel"/>
    <w:tmpl w:val="E16A2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7D7D49"/>
    <w:multiLevelType w:val="multilevel"/>
    <w:tmpl w:val="6D98F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0A410D"/>
    <w:multiLevelType w:val="multilevel"/>
    <w:tmpl w:val="BDB2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1CF0BF3"/>
    <w:multiLevelType w:val="multilevel"/>
    <w:tmpl w:val="533ED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C01D3D"/>
    <w:multiLevelType w:val="multilevel"/>
    <w:tmpl w:val="BE5A2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2E0246"/>
    <w:multiLevelType w:val="multilevel"/>
    <w:tmpl w:val="B3E28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723745">
    <w:abstractNumId w:val="0"/>
  </w:num>
  <w:num w:numId="2" w16cid:durableId="392896108">
    <w:abstractNumId w:val="9"/>
  </w:num>
  <w:num w:numId="3" w16cid:durableId="1042438327">
    <w:abstractNumId w:val="10"/>
  </w:num>
  <w:num w:numId="4" w16cid:durableId="1937902952">
    <w:abstractNumId w:val="4"/>
  </w:num>
  <w:num w:numId="5" w16cid:durableId="644745029">
    <w:abstractNumId w:val="8"/>
  </w:num>
  <w:num w:numId="6" w16cid:durableId="959186644">
    <w:abstractNumId w:val="1"/>
  </w:num>
  <w:num w:numId="7" w16cid:durableId="581989884">
    <w:abstractNumId w:val="6"/>
  </w:num>
  <w:num w:numId="8" w16cid:durableId="2004357643">
    <w:abstractNumId w:val="3"/>
  </w:num>
  <w:num w:numId="9" w16cid:durableId="614334818">
    <w:abstractNumId w:val="2"/>
  </w:num>
  <w:num w:numId="10" w16cid:durableId="1599295306">
    <w:abstractNumId w:val="5"/>
  </w:num>
  <w:num w:numId="11" w16cid:durableId="16118202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459"/>
    <w:rsid w:val="002E0497"/>
    <w:rsid w:val="003C09EA"/>
    <w:rsid w:val="0058392C"/>
    <w:rsid w:val="005E4ADC"/>
    <w:rsid w:val="007671B2"/>
    <w:rsid w:val="00A30322"/>
    <w:rsid w:val="00A74459"/>
    <w:rsid w:val="00BC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78D60"/>
  <w15:chartTrackingRefBased/>
  <w15:docId w15:val="{89A8DC0F-C1CA-4D0C-9EF1-E183A38D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44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44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44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44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44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44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44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44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44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44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44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44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44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44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44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44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44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44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44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44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4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44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44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44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44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4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4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44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7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6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2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5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3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792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 Blumberg</dc:creator>
  <cp:keywords/>
  <dc:description/>
  <cp:lastModifiedBy>Matthew Wagers</cp:lastModifiedBy>
  <cp:revision>2</cp:revision>
  <dcterms:created xsi:type="dcterms:W3CDTF">2025-07-25T21:00:00Z</dcterms:created>
  <dcterms:modified xsi:type="dcterms:W3CDTF">2025-07-25T21:00:00Z</dcterms:modified>
</cp:coreProperties>
</file>